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6FC" w:rsidRPr="002A46FC" w:rsidRDefault="002A46FC" w:rsidP="002A46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6FC">
        <w:rPr>
          <w:rFonts w:ascii="Times New Roman" w:hAnsi="Times New Roman" w:cs="Times New Roman"/>
          <w:b/>
          <w:sz w:val="28"/>
          <w:szCs w:val="28"/>
        </w:rPr>
        <w:t>45.Объект земельного кадастра и его классификация</w:t>
      </w:r>
    </w:p>
    <w:p w:rsidR="002A46FC" w:rsidRPr="002A46FC" w:rsidRDefault="002A46FC" w:rsidP="002A4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6F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A46FC">
        <w:rPr>
          <w:rFonts w:ascii="Times New Roman" w:hAnsi="Times New Roman" w:cs="Times New Roman"/>
          <w:sz w:val="28"/>
          <w:szCs w:val="28"/>
        </w:rPr>
        <w:t xml:space="preserve"> Значимость </w:t>
      </w:r>
      <w:bookmarkStart w:id="0" w:name="_GoBack"/>
      <w:bookmarkEnd w:id="0"/>
      <w:r w:rsidRPr="002A46FC">
        <w:rPr>
          <w:rFonts w:ascii="Times New Roman" w:hAnsi="Times New Roman" w:cs="Times New Roman"/>
          <w:sz w:val="28"/>
          <w:szCs w:val="28"/>
        </w:rPr>
        <w:t xml:space="preserve">государственного земельного кадастра во многом определяется важностью его объекта </w:t>
      </w:r>
      <w:proofErr w:type="spellStart"/>
      <w:proofErr w:type="gramStart"/>
      <w:r w:rsidRPr="002A46FC">
        <w:rPr>
          <w:rFonts w:ascii="Times New Roman" w:hAnsi="Times New Roman" w:cs="Times New Roman"/>
          <w:sz w:val="28"/>
          <w:szCs w:val="28"/>
        </w:rPr>
        <w:t>изучения.Обектом</w:t>
      </w:r>
      <w:proofErr w:type="spellEnd"/>
      <w:proofErr w:type="gramEnd"/>
      <w:r w:rsidRPr="002A46FC">
        <w:rPr>
          <w:rFonts w:ascii="Times New Roman" w:hAnsi="Times New Roman" w:cs="Times New Roman"/>
          <w:sz w:val="28"/>
          <w:szCs w:val="28"/>
        </w:rPr>
        <w:t xml:space="preserve"> государственного земельного кадастра служит единый государственный земельный фонд, который включает в себя все земли республики.</w:t>
      </w:r>
    </w:p>
    <w:p w:rsidR="002A46FC" w:rsidRPr="002A46FC" w:rsidRDefault="002A46FC" w:rsidP="002A4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6FC">
        <w:rPr>
          <w:rFonts w:ascii="Times New Roman" w:hAnsi="Times New Roman" w:cs="Times New Roman"/>
          <w:sz w:val="28"/>
          <w:szCs w:val="28"/>
        </w:rPr>
        <w:t xml:space="preserve">       Установление различных форм собственности на Землю объективно обусловило необходимость объединения всех земель в единый государственный земельный </w:t>
      </w:r>
      <w:proofErr w:type="spellStart"/>
      <w:proofErr w:type="gramStart"/>
      <w:r w:rsidRPr="002A46FC">
        <w:rPr>
          <w:rFonts w:ascii="Times New Roman" w:hAnsi="Times New Roman" w:cs="Times New Roman"/>
          <w:sz w:val="28"/>
          <w:szCs w:val="28"/>
        </w:rPr>
        <w:t>фонд,независимо</w:t>
      </w:r>
      <w:proofErr w:type="spellEnd"/>
      <w:proofErr w:type="gramEnd"/>
      <w:r w:rsidRPr="002A46FC">
        <w:rPr>
          <w:rFonts w:ascii="Times New Roman" w:hAnsi="Times New Roman" w:cs="Times New Roman"/>
          <w:sz w:val="28"/>
          <w:szCs w:val="28"/>
        </w:rPr>
        <w:t xml:space="preserve"> от их целевого назначения видов хозяйственного использования и форм собственности.</w:t>
      </w:r>
    </w:p>
    <w:p w:rsidR="002A46FC" w:rsidRPr="002A46FC" w:rsidRDefault="002A46FC" w:rsidP="002A4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6FC">
        <w:rPr>
          <w:rFonts w:ascii="Times New Roman" w:hAnsi="Times New Roman" w:cs="Times New Roman"/>
          <w:sz w:val="28"/>
          <w:szCs w:val="28"/>
        </w:rPr>
        <w:t xml:space="preserve">       При государственном земельном кадастре применяются определенные классификационные признаки или </w:t>
      </w:r>
      <w:proofErr w:type="spellStart"/>
      <w:proofErr w:type="gramStart"/>
      <w:r w:rsidRPr="002A46FC">
        <w:rPr>
          <w:rFonts w:ascii="Times New Roman" w:hAnsi="Times New Roman" w:cs="Times New Roman"/>
          <w:sz w:val="28"/>
          <w:szCs w:val="28"/>
        </w:rPr>
        <w:t>категории,которые</w:t>
      </w:r>
      <w:proofErr w:type="spellEnd"/>
      <w:proofErr w:type="gramEnd"/>
      <w:r w:rsidRPr="002A46FC">
        <w:rPr>
          <w:rFonts w:ascii="Times New Roman" w:hAnsi="Times New Roman" w:cs="Times New Roman"/>
          <w:sz w:val="28"/>
          <w:szCs w:val="28"/>
        </w:rPr>
        <w:t xml:space="preserve"> представляют собой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сиситему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земельно-кадастровых понятии. Эти понятия позволяют дать количественные показатели и качественную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характеристику,учитываемого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объекта.Числовое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значение величины кадастровых показателей выражается посредством определенных единиц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измерения,которые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зависят от сущности и свойств учитываемого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объекта.Площадь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земельного фонда и его составных частей учитывается в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гектарах,качество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сельскохозяйственных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угодии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характеризуется рядом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показателей,в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частности количеством питательных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веществ,таких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фосфор,азот,калий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и т.д. в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милиграммах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на 100г почвы.</w:t>
      </w:r>
    </w:p>
    <w:p w:rsidR="002A46FC" w:rsidRPr="002A46FC" w:rsidRDefault="002A46FC" w:rsidP="002A4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6FC">
        <w:rPr>
          <w:rFonts w:ascii="Times New Roman" w:hAnsi="Times New Roman" w:cs="Times New Roman"/>
          <w:sz w:val="28"/>
          <w:szCs w:val="28"/>
        </w:rPr>
        <w:t xml:space="preserve">Кадастровый показатель приводится в разных </w:t>
      </w:r>
      <w:proofErr w:type="spellStart"/>
      <w:proofErr w:type="gramStart"/>
      <w:r w:rsidRPr="002A46FC">
        <w:rPr>
          <w:rFonts w:ascii="Times New Roman" w:hAnsi="Times New Roman" w:cs="Times New Roman"/>
          <w:sz w:val="28"/>
          <w:szCs w:val="28"/>
        </w:rPr>
        <w:t>величинах.Площадь</w:t>
      </w:r>
      <w:proofErr w:type="spellEnd"/>
      <w:proofErr w:type="gramEnd"/>
      <w:r w:rsidRPr="002A46FC">
        <w:rPr>
          <w:rFonts w:ascii="Times New Roman" w:hAnsi="Times New Roman" w:cs="Times New Roman"/>
          <w:sz w:val="28"/>
          <w:szCs w:val="28"/>
        </w:rPr>
        <w:t xml:space="preserve"> земель показывается в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единицах,сотнях,тысячах,миллионных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гектарах.Точность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исчисления кадастровых показателей определяется исходя из практических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целей,требования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производства.</w:t>
      </w:r>
    </w:p>
    <w:p w:rsidR="002A46FC" w:rsidRPr="002A46FC" w:rsidRDefault="002A46FC" w:rsidP="002A4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6FC">
        <w:rPr>
          <w:rFonts w:ascii="Times New Roman" w:hAnsi="Times New Roman" w:cs="Times New Roman"/>
          <w:sz w:val="28"/>
          <w:szCs w:val="28"/>
        </w:rPr>
        <w:t xml:space="preserve">     Каждый кадастровый показатель выражает количественную сторону учитываемых явлении в неразрывной связи с его </w:t>
      </w:r>
      <w:proofErr w:type="spellStart"/>
      <w:proofErr w:type="gramStart"/>
      <w:r w:rsidRPr="002A46FC">
        <w:rPr>
          <w:rFonts w:ascii="Times New Roman" w:hAnsi="Times New Roman" w:cs="Times New Roman"/>
          <w:sz w:val="28"/>
          <w:szCs w:val="28"/>
        </w:rPr>
        <w:t>качеством.Это</w:t>
      </w:r>
      <w:proofErr w:type="spellEnd"/>
      <w:proofErr w:type="gramEnd"/>
      <w:r w:rsidRPr="002A4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означает,что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каждый показатель имеет точное определение своего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содержания,географическое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местоположение территорий к которой относится данный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участок,время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дату,когда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оно совершалось и единицы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измерения,в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которой выражены эти величины.</w:t>
      </w:r>
    </w:p>
    <w:p w:rsidR="002A46FC" w:rsidRPr="002A46FC" w:rsidRDefault="002A46FC" w:rsidP="002A4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6FC">
        <w:rPr>
          <w:rFonts w:ascii="Times New Roman" w:hAnsi="Times New Roman" w:cs="Times New Roman"/>
          <w:sz w:val="28"/>
          <w:szCs w:val="28"/>
        </w:rPr>
        <w:t xml:space="preserve">        Подразделение учитываемого объекта на группы </w:t>
      </w:r>
      <w:proofErr w:type="gramStart"/>
      <w:r w:rsidRPr="002A46FC">
        <w:rPr>
          <w:rFonts w:ascii="Times New Roman" w:hAnsi="Times New Roman" w:cs="Times New Roman"/>
          <w:sz w:val="28"/>
          <w:szCs w:val="28"/>
        </w:rPr>
        <w:t>по различным основанием</w:t>
      </w:r>
      <w:proofErr w:type="gramEnd"/>
      <w:r w:rsidRPr="002A46FC">
        <w:rPr>
          <w:rFonts w:ascii="Times New Roman" w:hAnsi="Times New Roman" w:cs="Times New Roman"/>
          <w:sz w:val="28"/>
          <w:szCs w:val="28"/>
        </w:rPr>
        <w:t xml:space="preserve"> обычно называют классификацией. Оно определяется сущностью изучаемых </w:t>
      </w:r>
      <w:proofErr w:type="spellStart"/>
      <w:proofErr w:type="gramStart"/>
      <w:r w:rsidRPr="002A46FC">
        <w:rPr>
          <w:rFonts w:ascii="Times New Roman" w:hAnsi="Times New Roman" w:cs="Times New Roman"/>
          <w:sz w:val="28"/>
          <w:szCs w:val="28"/>
        </w:rPr>
        <w:t>явлении,общественной</w:t>
      </w:r>
      <w:proofErr w:type="spellEnd"/>
      <w:proofErr w:type="gramEnd"/>
      <w:r w:rsidRPr="002A46FC">
        <w:rPr>
          <w:rFonts w:ascii="Times New Roman" w:hAnsi="Times New Roman" w:cs="Times New Roman"/>
          <w:sz w:val="28"/>
          <w:szCs w:val="28"/>
        </w:rPr>
        <w:t xml:space="preserve"> потребностью в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ней.Земельный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фонд каждой административно-территориальной единицы при земельном кадастре учитывается прежде всего по общей площади и географическому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местоположению.Земельный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фонд нашей страны включает:1)сушу 2)внутренние территориальные воды 3)внешние территориальные воды.</w:t>
      </w:r>
    </w:p>
    <w:p w:rsidR="002A46FC" w:rsidRPr="002A46FC" w:rsidRDefault="002A46FC" w:rsidP="002A4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6FC">
        <w:rPr>
          <w:rFonts w:ascii="Times New Roman" w:hAnsi="Times New Roman" w:cs="Times New Roman"/>
          <w:sz w:val="28"/>
          <w:szCs w:val="28"/>
        </w:rPr>
        <w:t xml:space="preserve">           К внутренним водам относятся </w:t>
      </w:r>
      <w:proofErr w:type="spellStart"/>
      <w:proofErr w:type="gramStart"/>
      <w:r w:rsidRPr="002A46FC">
        <w:rPr>
          <w:rFonts w:ascii="Times New Roman" w:hAnsi="Times New Roman" w:cs="Times New Roman"/>
          <w:sz w:val="28"/>
          <w:szCs w:val="28"/>
        </w:rPr>
        <w:t>реки,озера</w:t>
      </w:r>
      <w:proofErr w:type="gramEnd"/>
      <w:r w:rsidRPr="002A46FC">
        <w:rPr>
          <w:rFonts w:ascii="Times New Roman" w:hAnsi="Times New Roman" w:cs="Times New Roman"/>
          <w:sz w:val="28"/>
          <w:szCs w:val="28"/>
        </w:rPr>
        <w:t>,заливы,Аральское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море.К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внешним: (РК не имеет внешних территориальных вод) полоса территориальных вод, прибрежных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государств.Ширина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этих территориальных вод составляет 12 морских миль. Одна морская миля = 1852м, т.е. ширина территориальных вод прибрежных государств составляет 22 к 224 м от внешней границы линии </w:t>
      </w:r>
      <w:proofErr w:type="spellStart"/>
      <w:proofErr w:type="gramStart"/>
      <w:r w:rsidRPr="002A46FC">
        <w:rPr>
          <w:rFonts w:ascii="Times New Roman" w:hAnsi="Times New Roman" w:cs="Times New Roman"/>
          <w:sz w:val="28"/>
          <w:szCs w:val="28"/>
        </w:rPr>
        <w:t>материка,отстрова</w:t>
      </w:r>
      <w:proofErr w:type="spellEnd"/>
      <w:proofErr w:type="gramEnd"/>
      <w:r w:rsidRPr="002A46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т.п.Исключением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из этого правила является ряд заливов, в которых полоса территориальных вод значительно меньше.</w:t>
      </w:r>
    </w:p>
    <w:p w:rsidR="002A46FC" w:rsidRPr="002A46FC" w:rsidRDefault="002A46FC" w:rsidP="002A4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6FC">
        <w:rPr>
          <w:rFonts w:ascii="Times New Roman" w:hAnsi="Times New Roman" w:cs="Times New Roman"/>
          <w:sz w:val="28"/>
          <w:szCs w:val="28"/>
        </w:rPr>
        <w:lastRenderedPageBreak/>
        <w:t xml:space="preserve">        Исходя из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особеннотей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и назначения единого государственного земельного </w:t>
      </w:r>
      <w:proofErr w:type="spellStart"/>
      <w:proofErr w:type="gramStart"/>
      <w:r w:rsidRPr="002A46FC">
        <w:rPr>
          <w:rFonts w:ascii="Times New Roman" w:hAnsi="Times New Roman" w:cs="Times New Roman"/>
          <w:sz w:val="28"/>
          <w:szCs w:val="28"/>
        </w:rPr>
        <w:t>фонда,как</w:t>
      </w:r>
      <w:proofErr w:type="spellEnd"/>
      <w:proofErr w:type="gramEnd"/>
      <w:r w:rsidRPr="002A46FC">
        <w:rPr>
          <w:rFonts w:ascii="Times New Roman" w:hAnsi="Times New Roman" w:cs="Times New Roman"/>
          <w:sz w:val="28"/>
          <w:szCs w:val="28"/>
        </w:rPr>
        <w:t xml:space="preserve"> объекта хозяйствования он учитывается в следующих основных аспектах:1)по целевому назначению 2)по хозяйственному использованию 3)по качественному состоянию 4)по административно-территориальному делению.</w:t>
      </w:r>
    </w:p>
    <w:p w:rsidR="002A46FC" w:rsidRPr="002A46FC" w:rsidRDefault="002A46FC" w:rsidP="002A4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6FC">
        <w:rPr>
          <w:rFonts w:ascii="Times New Roman" w:hAnsi="Times New Roman" w:cs="Times New Roman"/>
          <w:sz w:val="28"/>
          <w:szCs w:val="28"/>
        </w:rPr>
        <w:t xml:space="preserve">       Государственный земельный фонд по характеру использования подразделяется на 2 принципиально различные группы земель: </w:t>
      </w:r>
      <w:proofErr w:type="gramStart"/>
      <w:r w:rsidRPr="002A46FC">
        <w:rPr>
          <w:rFonts w:ascii="Times New Roman" w:hAnsi="Times New Roman" w:cs="Times New Roman"/>
          <w:sz w:val="28"/>
          <w:szCs w:val="28"/>
        </w:rPr>
        <w:t>1)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земли</w:t>
      </w:r>
      <w:proofErr w:type="gramEnd"/>
      <w:r w:rsidRPr="002A46FC">
        <w:rPr>
          <w:rFonts w:ascii="Times New Roman" w:hAnsi="Times New Roman" w:cs="Times New Roman"/>
          <w:sz w:val="28"/>
          <w:szCs w:val="28"/>
        </w:rPr>
        <w:t>,используемые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в основном в качестве главного средства производства 2)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земли,используемые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в виде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площадного,территориального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и пространственного базиса. В первую группу включены земли сельского и лесного </w:t>
      </w:r>
      <w:proofErr w:type="spellStart"/>
      <w:proofErr w:type="gramStart"/>
      <w:r w:rsidRPr="002A46FC">
        <w:rPr>
          <w:rFonts w:ascii="Times New Roman" w:hAnsi="Times New Roman" w:cs="Times New Roman"/>
          <w:sz w:val="28"/>
          <w:szCs w:val="28"/>
        </w:rPr>
        <w:t>хозяйства,во</w:t>
      </w:r>
      <w:proofErr w:type="spellEnd"/>
      <w:proofErr w:type="gramEnd"/>
      <w:r w:rsidRPr="002A46FC">
        <w:rPr>
          <w:rFonts w:ascii="Times New Roman" w:hAnsi="Times New Roman" w:cs="Times New Roman"/>
          <w:sz w:val="28"/>
          <w:szCs w:val="28"/>
        </w:rPr>
        <w:t xml:space="preserve"> вторую-все остальные и т.е. земли </w:t>
      </w:r>
      <w:proofErr w:type="spellStart"/>
      <w:r w:rsidRPr="002A46FC">
        <w:rPr>
          <w:rFonts w:ascii="Times New Roman" w:hAnsi="Times New Roman" w:cs="Times New Roman"/>
          <w:sz w:val="28"/>
          <w:szCs w:val="28"/>
        </w:rPr>
        <w:t>дорог,промышленности,здании</w:t>
      </w:r>
      <w:proofErr w:type="spellEnd"/>
      <w:r w:rsidRPr="002A46FC">
        <w:rPr>
          <w:rFonts w:ascii="Times New Roman" w:hAnsi="Times New Roman" w:cs="Times New Roman"/>
          <w:sz w:val="28"/>
          <w:szCs w:val="28"/>
        </w:rPr>
        <w:t xml:space="preserve"> и сооружения.</w:t>
      </w:r>
    </w:p>
    <w:p w:rsidR="001A018A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B3B54" w:rsidRPr="001C75E4">
        <w:rPr>
          <w:rFonts w:ascii="Times New Roman" w:hAnsi="Times New Roman" w:cs="Times New Roman"/>
          <w:b/>
          <w:sz w:val="28"/>
          <w:szCs w:val="28"/>
        </w:rPr>
        <w:t xml:space="preserve">Характеристика земельного фонда Республики Казахстан по категориям земель и землепользователей </w:t>
      </w:r>
    </w:p>
    <w:p w:rsidR="00C976AA" w:rsidRPr="001C75E4" w:rsidRDefault="00C976AA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   Классификация земельного фонда по целевому назначению и хозяйственному  использованию на отдельных этапах развития земельного учета претерпывают отдельные изменения. Поэтому она не является постоянной и в своем развитии совершенствуется.  </w:t>
      </w:r>
    </w:p>
    <w:p w:rsidR="00C976AA" w:rsidRPr="001C75E4" w:rsidRDefault="00C976AA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   Земельный фонд выступает как единое целое  в зависимости от  целевого назначения отдельных его составных частей и подразделяется на следующие основные категории земель.При дейстующей системе государственного земельного кадастра в соответствии с основным целевым назначением в составе земельного фонда выделяется 7 основных категории земель:</w:t>
      </w:r>
    </w:p>
    <w:p w:rsidR="00C976AA" w:rsidRPr="001C75E4" w:rsidRDefault="00C976AA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1.Земли сельскохозяйственного назначения</w:t>
      </w:r>
    </w:p>
    <w:p w:rsidR="00C976AA" w:rsidRPr="001C75E4" w:rsidRDefault="00C976AA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2.Земли населенных пунктов(городов,поселков и сельских населенных мест)</w:t>
      </w:r>
    </w:p>
    <w:p w:rsidR="00C976AA" w:rsidRPr="001C75E4" w:rsidRDefault="00C976AA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3.Земли промышленности,транспорта,связи,для нужд космической деятельности,обороны,национальной безопасности,заказников и иного несельскохозяйственного назначения</w:t>
      </w:r>
    </w:p>
    <w:p w:rsidR="00C976AA" w:rsidRPr="001C75E4" w:rsidRDefault="00C976AA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4.Земли особо охраняемых природных территории,земли оздоровительного,рекреацинного и историко-культурного назначения</w:t>
      </w:r>
    </w:p>
    <w:p w:rsidR="00C976AA" w:rsidRPr="001C75E4" w:rsidRDefault="00C976AA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5.Земли лесного фонда</w:t>
      </w:r>
    </w:p>
    <w:p w:rsidR="00C976AA" w:rsidRPr="001C75E4" w:rsidRDefault="00C976AA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6.Земли водного фонда</w:t>
      </w:r>
    </w:p>
    <w:p w:rsidR="00C976AA" w:rsidRDefault="00C976AA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7.Земли запаса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6AA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47.</w:t>
      </w:r>
      <w:r w:rsidR="00C976AA" w:rsidRPr="001C75E4">
        <w:rPr>
          <w:rFonts w:ascii="Times New Roman" w:hAnsi="Times New Roman" w:cs="Times New Roman"/>
          <w:b/>
          <w:sz w:val="28"/>
          <w:szCs w:val="28"/>
          <w:lang w:val="kk-KZ"/>
        </w:rPr>
        <w:t>Характеристика земель сельскохозяйственного назначения</w:t>
      </w:r>
    </w:p>
    <w:p w:rsidR="00C976AA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976AA"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 Таковыми считаются все земли,предоставленные для нужд сельского хозяйства или предназначенные для этих целей.Они находятся в пользовании отдельных землевладельцев и землепользователей, занимающихся сельскохозяйственным производством.Выделение этих земель в отдельную категорию имеет важное хозяйственное значение.</w:t>
      </w:r>
    </w:p>
    <w:p w:rsidR="00C976AA" w:rsidRPr="001C75E4" w:rsidRDefault="00C976AA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  Общим для всех земель,включенных в данную категорию является то,что здесь земля вступает в основном,как главное средство производства.Это обуславливает и особую ценность земель рассматриваемой категории.\</w:t>
      </w:r>
    </w:p>
    <w:p w:rsidR="00C976AA" w:rsidRPr="001C75E4" w:rsidRDefault="00C976AA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Данные земли используются для ведения сельского хозяйства в целях  у удовлетворения возрастающих потребностей народного хозяйства в сельскохозяйственной продукции,а промышленности-в сырье.</w:t>
      </w:r>
    </w:p>
    <w:p w:rsidR="00C976AA" w:rsidRPr="001C75E4" w:rsidRDefault="00C976AA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    Земли сельскохозяйственного назначения имеют особый правовый режим и подлежат охране,направленной на ограничение и изъятие этих земель,сохранение и повышении их плодородия.Площадь земель данной категории в структуре земельного фонда республики составляет 93,4 млн. га</w:t>
      </w:r>
    </w:p>
    <w:p w:rsidR="00C976AA" w:rsidRDefault="00870D72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Или 35,8</w:t>
      </w:r>
      <w:r w:rsidRPr="001C75E4">
        <w:rPr>
          <w:rFonts w:ascii="Times New Roman" w:hAnsi="Times New Roman" w:cs="Times New Roman"/>
          <w:sz w:val="28"/>
          <w:szCs w:val="28"/>
        </w:rPr>
        <w:t xml:space="preserve">% используемых земель(2012г.).Их удельный вес в земельном фонде областей колеблется </w:t>
      </w:r>
      <w:proofErr w:type="gramStart"/>
      <w:r w:rsidRPr="001C75E4">
        <w:rPr>
          <w:rFonts w:ascii="Times New Roman" w:hAnsi="Times New Roman" w:cs="Times New Roman"/>
          <w:sz w:val="28"/>
          <w:szCs w:val="28"/>
        </w:rPr>
        <w:t xml:space="preserve">от </w:t>
      </w:r>
      <w:r w:rsidR="00C976AA"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>70</w:t>
      </w:r>
      <w:proofErr w:type="gramEnd"/>
      <w:r w:rsidRPr="001C75E4">
        <w:rPr>
          <w:rFonts w:ascii="Times New Roman" w:hAnsi="Times New Roman" w:cs="Times New Roman"/>
          <w:sz w:val="28"/>
          <w:szCs w:val="28"/>
          <w:lang w:val="kk-KZ"/>
        </w:rPr>
        <w:t>-75%(СКО,Акмолинская области), до 10-20%(Кызылординская,Атырауская области).Это различие в основном связано с различием в природно-климатических условиях и наличием обширных площадей.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70D72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48.</w:t>
      </w:r>
      <w:r w:rsidR="00870D72" w:rsidRPr="001C75E4">
        <w:rPr>
          <w:rFonts w:ascii="Times New Roman" w:hAnsi="Times New Roman" w:cs="Times New Roman"/>
          <w:b/>
          <w:sz w:val="28"/>
          <w:szCs w:val="28"/>
          <w:lang w:val="kk-KZ"/>
        </w:rPr>
        <w:t>Характеристика земель населенных пунктов (поселков,городов,сельских населенных мест).</w:t>
      </w:r>
    </w:p>
    <w:p w:rsidR="00870D72" w:rsidRPr="001C75E4" w:rsidRDefault="00870D72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  По состоянию на 1 ноября 2012года площадь земель населенных пунктов в республике составило 23,8 млн га, или 9,1% от общей площади используемых земель республики.</w:t>
      </w:r>
    </w:p>
    <w:p w:rsidR="00870D72" w:rsidRPr="001C75E4" w:rsidRDefault="00870D72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 К этой категории относятся земли городов,поселков городского типа и сельских населенных пунктов.Общими для данной категории является то,что земля здесь выступает как площадь,как место,где размещаются здания,сооружения и т.п.К землям городам относится вся земляя,находящаяся в пределах границы города.Граница города-это та часть земли,отделяющая их от других категории единого земельного фонда.Она утверждается соответствующими государственными органами и устанавливается в порядке землеустройства.В состав городских земель входят:земли городской застройки; земли общего пользования; земли сельскохозяйственного использования и другие угодии; земли,занятые городскими лесами; земли ЖД транспорта в пределах границы города; также земли горной промышленности и другие.Они находятся в ведении городских акиматов,которые осуществляют земельный кадастр этих земель.Земли поселков городского типа составляют все земли в пределах поселковой границы.Находятся они в распоряжении местных органов управлении.По состоянию на 1 ноября 2012 года площадь земель занятых под городами и пос</w:t>
      </w:r>
      <w:r w:rsidR="00BD44BE" w:rsidRPr="001C75E4">
        <w:rPr>
          <w:rFonts w:ascii="Times New Roman" w:hAnsi="Times New Roman" w:cs="Times New Roman"/>
          <w:sz w:val="28"/>
          <w:szCs w:val="28"/>
          <w:lang w:val="kk-KZ"/>
        </w:rPr>
        <w:t>елками городского типа составила 2,3 млн га или 9,6% от общей площади земель населенных пунктов республики.</w:t>
      </w:r>
    </w:p>
    <w:p w:rsidR="00BD44BE" w:rsidRDefault="00BD44BE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    К землям сельских населенных пунктов относятся все земли,находящиеся в пределах границ,установленных для этих пунктов.Их общая площадь на 1 ноября 2012 года составила 21,5 млн га,то есть занимала почти до 4% земель всех населенных пунктов республики.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b/>
          <w:sz w:val="28"/>
          <w:szCs w:val="28"/>
          <w:lang w:val="kk-KZ"/>
        </w:rPr>
        <w:t>49. Характеристика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назначения.</w:t>
      </w:r>
    </w:p>
    <w:p w:rsid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Земли этой категории представляют собой состав различных по целевому назначению земель, используемых для несельскохозяйственных целей. Они представлены в пользование предприятиям, организациям и учреждениям для осуществления возложенных на них специальных задач, промышленного производства, транспорта, для нужд космической деятельности, обороны и национальной безопасности. Как и в предыдущей категории, общим для данных земель является то, что земля функционирует главным образом как площадь, территория, где размещаются производства и осуществляется несельскохозяйственная деятельность. Как правило, они располагаются небольшими массивами среди других категорий земель. Земли промышленности включают: земли, занятые как добывающие и земли перерабатывающей промышленности.  К землям транспорта относятся: земли предприятий, учреждений и организаций всех видов транспорта. Общая площадь земель рассматриваемой категории на 1 ноября 2012 года составила 2620,8 тыс.га или всего 1 % от общей пощади используемых земель. Из них земли промышленности занимают 914,6 тыс. га (34,9%), земли автомобильного транспорта – 300,1 тыс.га (11,4%), земли железнодорожного транспорта – 188,1 тыс.га (7,2%), земли связи – 7,1 тыс. га (0,3%), другие несельскохозяйственные предприятия  - 1210,9 тыс.га (46,2%).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b/>
          <w:sz w:val="28"/>
          <w:szCs w:val="28"/>
          <w:lang w:val="kk-KZ"/>
        </w:rPr>
        <w:t>50. Характеристика земель особо охраняемых природных территорий, земли оздоровительного, рекреационного и историко- культурного назначения.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 По данным баланса земель на 1 ноября 2012 года общая площадь этой категории составила 5776,5 тыс. га (2,2%), в том числе земли особо охраняемых природных территорий – 4629,8 тыс. га, земли оздоровительного назначения – 3,4 тыс. га, земли рекреационного и историко- культурного назначения – 1143,3 тыс. га. Кроме того, в других категориях числятся земли заказников, заповедных зон и земли с природными комплексами и объектами общей площадью 1210,7 тыс. га.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 К землям этой категории относятся земельные участки курортов, организаций здравоохранения и земли благоприятные для организации курортно – санаторных учреждений, домов отдыха, а также земли заповедников и заказников выделенные в установленном порядке, в пределах которых имеются природные объекты, представляющие особую научную и культурную ценность.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К землям особо охраняемых природных территорий относятся земли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парков, государственных зоологических и дендрологических парков, государственных ботанических садов, а также государственных памятников природы.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Земельные участки государственных заповедных зон и государственных природных заказников выделяются и учитываются в составе других 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lastRenderedPageBreak/>
        <w:t>категорий земель без изъятия их у собственников земельных участков и землепользователей.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К землям оздоровительного назначения относятся курорты, обладающие природными и лечебными факторами, а также земельные участки, благоприятные для организации профилактики и лечения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В составе земель рекреационного назначения учитываются земли, предназначенные и используемые для организации массового отдыха и туризма населения. </w:t>
      </w:r>
    </w:p>
    <w:p w:rsid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Землями историко- культурного назначения признаются земельные участки, занятые объектами историко- культурного наследия, в том числе памятниками истории и культуры.</w:t>
      </w:r>
    </w:p>
    <w:p w:rsid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b/>
          <w:sz w:val="28"/>
          <w:szCs w:val="28"/>
          <w:lang w:val="kk-KZ"/>
        </w:rPr>
        <w:t>51. Земли лесного фонда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В состав земель лесного фонда входят земли, покрытые и непокрытые лесом, но предназначенные для нужд лесного хозяйства и находящееся в пользовании лесохозяйственных предприятий, организаций и учреждений.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Земли этой категории выступают в основном как и земли первой категории, то есть сельскохозяйственного назначения в качестве главного средства производства. Различие заключается в том, что здесь человек относительно меньше воздействует на землю, соответственно меньше затрат и труда на обработку земель. Это связано более длительным периодом произрастания лесных и кустарниковых насаждений, нежели сельскохозяйственных культур.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По данным баланса земель на 1 ноября 2012 года общая площадь земельного лесного фонда составляет 23,1 млн.га или 8,8 % используемого земельного фонда Республики Казахстан. За годы земельной реформы площадь земель лесного фонда увеличилась более чем в 2 раза во временном землепользовании сельскохозяйственных предприятий. Во временном землепользовании сельскохозяйственных субъектов в настоящее время находится всего 43,5 тыс.га земель лесохозяйственных предприятий. В 1991 г. таких земель было 13,5 млн.га.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Только в 2012 г. земли лесного фонда в целом по республике увеличились на 30,9 тыс. га. Основное увеличение произошло в Кызылординской области на 14,9 тыс.га и в Алматинской области на 11,1 тыс. га. В остальных областях эти изменения незначительны, их площади остались на прежнем уровне. 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Основные площади земель лесного фонда находятся в Кызылординской (6502,5 тыс.га), Жамбылской (4414,4 тыс. га), Алматинской (4077,7 тыс.га), Южно – Казахстанской (3 млн. 128 тыс. га) и в Восточно- Казахстанской (2140,9 тыс.га) областях, а площади лесных и древесно- кустарниковых насаждений, числившихся в составе лесного фонда, в Кызылординской (4994,5 тыс.га), в Алматинской (1745,4 тыс. га) , в Восточно - Казахстанской (1437,7 тыс.га) областях.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В структуре земель лесного фонда лесные площади и древесно – кустарниковые насаждения занимают 50,2 % или около 11,600 тыс.га.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Наибольшей лесистостью отличаются земли лесного фонда Северо- Казахстанской (86,9%) и Павлодарской (86,4%) областей, а наиболее низкой –Южно- Казахстанской (17,8%), Жамбылской (22,9%) областей. Числившихся в учётных данных довольно высокая (76,8%), лесистость Кызылординской области фактически характеризуется изреженностью саксаульских лесов.</w:t>
      </w:r>
    </w:p>
    <w:p w:rsid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В соответствии с земельным кодексом Республики Казахстан земли лесного фонда состоят из земель государственного и частного лесных фондов. По данным Комитета лесного и охотничьего хозяйства Министерства сельского хозяйства Республики Казахстан частный лесной фонд общей площадью – 157 га в настоящее время имеется в Акмолинской области.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b/>
          <w:sz w:val="28"/>
          <w:szCs w:val="28"/>
          <w:lang w:val="kk-KZ"/>
        </w:rPr>
        <w:t>52. Земли водного фонда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 земельным кодексом РК, землями неземельного фонда признаются земли, занятые водоемами (реками) и приравненными к ним каналами (озерами, водохранилищами, прудами, территориальными водами), ледниками, болотами, водохозяйственными сооружениями для регулирования стока, располагаемые на водоисточниках, а также земли, выделенные под водоохранные полосы водных объектов и зоны санитарной охраны водозаборных систем питьевого водоснабжения. 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По данным баланса земель на 1.11.12. площадь земель водного фонда составляет 4113,2 тыс.га. или 1,6% земельного фонда республики.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Динамика площади земель водного фонда по республике в целом (тыс.га.)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Виды угодий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1991 г.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2011 г.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2012 г.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Изме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2012 г. к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1991 г.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нения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2012 г. к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2011 г.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Всего земель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819,9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4108,5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4113,2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+3293,3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+4,7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Сельхоз.угодия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59,7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123,2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124,3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+64,6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1,1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Под водой всего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725,9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3853,2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3857,2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+3131,3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+4,0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Из них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Под реками и ручьями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129,9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278,6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267,8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+137,9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-10,8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Под озерами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140,7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2923,8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2927,0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+2786,3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+3,2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Под искусственными водоемами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455,3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650,8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662,4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+207,1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+11,6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Прочие земли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34,3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132,1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131,7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+97,4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ab/>
        <w:t>-0,4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В 2012 году произошло увеличение земель категорий водного фонда на 4,7 тыс.га. в результате корректировки и уточнения площадей по видам угодий и категориям земель.</w:t>
      </w:r>
    </w:p>
    <w:p w:rsidR="001C75E4" w:rsidRPr="001C75E4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1C75E4"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В структуре земель водного фонда земли под водой занимают 3857,2 тыс.га. (93,8% от всего количества земель водного фонда), в том числе под </w:t>
      </w:r>
      <w:r w:rsidR="001C75E4" w:rsidRPr="001C75E4">
        <w:rPr>
          <w:rFonts w:ascii="Times New Roman" w:hAnsi="Times New Roman" w:cs="Times New Roman"/>
          <w:sz w:val="28"/>
          <w:szCs w:val="28"/>
          <w:lang w:val="kk-KZ"/>
        </w:rPr>
        <w:lastRenderedPageBreak/>
        <w:t>озерами – 2927 тыс.га (71%), под реками и ручьями – 267,8 тыс.га. (6,5%). Под искусственными водоемами – 662,4 тыс.га. (16,1%).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За исключением Мангыстауской области, земли водного фонда имеются во всех областях. Наибольшие их площади числятся 2239,2 тыс.га (54,4%) и в ВКО – 527,7 тыс.га (13,9%) областях.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Основные площади земель под реками и ручьями числятся в ВКО (Иртыш) – 105,4 тыс.га. (39,4%), под озерами – в Кызылординской области (Арал) – 2155,8 тыс.га.(73,6%), под искусственными водоемами – в ВКО – 304,2 тыс.га. (45,9%) и Алматинской области – 150 тыс.га. (22,6%).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В целях совершенствования учета водных объектов территория республики условно подразделяется на 8 учетных водохозяйственных бассейнов: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1.Арало-Сырдарьинский; 2.Балхаш-Аральский; 3.Ертысский (Иртышский); 4.Урало-Каспийский; 5.Есильский (Ишимсикй); 6.Нура-Сарысуский; 7.Шу-Таласский; 8.Тоболо-Торгайский (Тургайский), каждая из которых характеризуется различным уровнем водообеспеченности территории и условиями использования водных ресурсов.</w:t>
      </w:r>
    </w:p>
    <w:p w:rsidR="001C75E4" w:rsidRPr="001C75E4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1C75E4" w:rsidRPr="001C75E4">
        <w:rPr>
          <w:rFonts w:ascii="Times New Roman" w:hAnsi="Times New Roman" w:cs="Times New Roman"/>
          <w:sz w:val="28"/>
          <w:szCs w:val="28"/>
          <w:lang w:val="kk-KZ"/>
        </w:rPr>
        <w:t>Такое бассейновое управление водным фондом страны направлено. Прежде всего на ведение государственного учета и мониторинга водных объектов, организацию эффективного, экологически устойчивого водопользования на основе перспективных планов и программ развития в пределах каждого бассейна, исходя из наличия и природной характеристик</w:t>
      </w:r>
      <w:r>
        <w:rPr>
          <w:rFonts w:ascii="Times New Roman" w:hAnsi="Times New Roman" w:cs="Times New Roman"/>
          <w:sz w:val="28"/>
          <w:szCs w:val="28"/>
          <w:lang w:val="kk-KZ"/>
        </w:rPr>
        <w:t>и, имеющихся в водных ресурсах.</w:t>
      </w:r>
      <w:r w:rsidR="001C75E4" w:rsidRPr="001C75E4">
        <w:rPr>
          <w:rFonts w:ascii="Times New Roman" w:hAnsi="Times New Roman" w:cs="Times New Roman"/>
          <w:sz w:val="28"/>
          <w:szCs w:val="28"/>
          <w:lang w:val="kk-KZ"/>
        </w:rPr>
        <w:t>Казахстан характеризуется ограниченным количеством водных источников. Особенно пресноводных. В связи с этим, в республике исключительно важное значение имеет кадастровый учет водных объектов, в том числе в части уточнения и соблюдения режима использования земель водоохранных зон и полос и приведение их в соответствие с водным и земельным законодательством.</w:t>
      </w:r>
    </w:p>
    <w:p w:rsidR="001C75E4" w:rsidRPr="001575E0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75E4" w:rsidRPr="001575E0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b/>
          <w:sz w:val="28"/>
          <w:szCs w:val="28"/>
          <w:lang w:val="kk-KZ"/>
        </w:rPr>
        <w:t>53.Земли запаса (Государственный земельный запас)</w:t>
      </w:r>
    </w:p>
    <w:p w:rsidR="001C75E4" w:rsidRPr="001C75E4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1C75E4" w:rsidRPr="001C75E4">
        <w:rPr>
          <w:rFonts w:ascii="Times New Roman" w:hAnsi="Times New Roman" w:cs="Times New Roman"/>
          <w:sz w:val="28"/>
          <w:szCs w:val="28"/>
          <w:lang w:val="kk-KZ"/>
        </w:rPr>
        <w:t>В составе земельного фонда РК последнюю 7 строку составляет категория так называемых земель запаса. В годы советской власти эта категория земель называлась государственным земельным запасом и на географических картосхемах землепользования административных районов областей и республики обозначалась сокращенно ГЗЗ, что подразумевало земли Государственного земельного запаса.</w:t>
      </w:r>
    </w:p>
    <w:p w:rsidR="001C75E4" w:rsidRPr="001C75E4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1C75E4" w:rsidRPr="001C75E4">
        <w:rPr>
          <w:rFonts w:ascii="Times New Roman" w:hAnsi="Times New Roman" w:cs="Times New Roman"/>
          <w:sz w:val="28"/>
          <w:szCs w:val="28"/>
          <w:lang w:val="kk-KZ"/>
        </w:rPr>
        <w:t>По отчетным данным этого же Агентства в 1991 году, т.е. в советское время по республике площадь категории земель запаса занимало всего 19 млн.га. и охватывало площадь земель непредоставленное землепользователям в бессрочное и долгосрочное пользование. А так же включало земли горных территорий, скал и так называемые неудобные земли типа калеонов и бедленд (негодные земли) и т.п. после обретения суверенитета и образования РК, а так же переходом к рыночным формам хозяйствования началась переоценка видов хозяйств использования земельного фонда республики.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lastRenderedPageBreak/>
        <w:t>В связи с этим из сельхозоборота были изъяты земли фактически неиспользуемые как в земледелии так и в животноводстве, что привело к переводу этих земель в категорию (группу) земель запаса. Это процесс происходил до 2005 года и площадь категории земель запаса увеличилась до 125,6 млн.га.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Но начиная с 2005 года по 2011 годв результате проведенной инвентаризации сельскохозяйственных угодий, особенно пастбищных угодий и уточнение границ сельских населенных пунктов произошло уменьшение площади категории земель запаса на 17,4 млн.га. в связи с вовлечением их в сельскохозяйственный оборот. Только в 2012 году площадь категории земель запаса увеличилась на 204,3 тыс.га.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Анализ под различные виды хозяйственного использования категории земель запаса за 2012 год показывает, что наибольшие площади этих земель были вовлечены в Карагандинской – 652,6 тыс.га., Актюбинской – 479,5 тыс.га., Костанайской – 362,4 тыс.га., ВКО – 326,0 тыс.га. и Акмолинской – 292,4 тыс.га. областях. Вовлечение этих земель в хозяйственное использование связано с переводом основных площадей категорий земель запаса в категорию земель сельскохозяйственного назначения, а так же в категорию земель промышленности, транспорта и иного несельскохозяйственного назначения и в категорию земель особоохраняемхы природных территорий. </w:t>
      </w:r>
      <w:r w:rsidR="001575E0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t>В структуре категории земель запаса преобладают сельскохозяйственные угодья – 91,0 млн.га. (84%), в том числе 430,8 тыс.га. – пашни, 1555,4 тыс.га. – залежи, 2297,0 тыс.га. – сенокосы и 86724,2 тыс.га – пастбища.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Набольший удельный вес пахотных земель (пашни и залежи) от общей их площади в категории земель запаса находятся в северных зерносеющих областях республики, а именно в Павлодарской – 692,4 тыс.га. (34,9%), Акмолинской – 198,3 тыс.га. (10%) и ЗКО – 455,2 тыс.га. (22,9%).</w:t>
      </w:r>
    </w:p>
    <w:p w:rsidR="001C75E4" w:rsidRPr="001C75E4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1C75E4" w:rsidRPr="001C75E4">
        <w:rPr>
          <w:rFonts w:ascii="Times New Roman" w:hAnsi="Times New Roman" w:cs="Times New Roman"/>
          <w:sz w:val="28"/>
          <w:szCs w:val="28"/>
          <w:lang w:val="kk-KZ"/>
        </w:rPr>
        <w:t>В соответствии  с земельным кодексом РК, пашня – это земельные участки, систематически обработанные и используемые под посевы сельскохозяйственных культур, включая посевы многолетних трав, а так же пары. Однако в землях запаса до сих пор числятся 430,8 тыс.га., что противоречит действующему закону.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5E4" w:rsidRPr="001575E0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b/>
          <w:sz w:val="28"/>
          <w:szCs w:val="28"/>
          <w:lang w:val="kk-KZ"/>
        </w:rPr>
        <w:t>54. Специальный земельный фонд</w:t>
      </w:r>
    </w:p>
    <w:p w:rsidR="001C75E4" w:rsidRPr="001C75E4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1C75E4" w:rsidRPr="001C75E4">
        <w:rPr>
          <w:rFonts w:ascii="Times New Roman" w:hAnsi="Times New Roman" w:cs="Times New Roman"/>
          <w:sz w:val="28"/>
          <w:szCs w:val="28"/>
          <w:lang w:val="kk-KZ"/>
        </w:rPr>
        <w:t>Специальный земельный фонд входит в состав земель запаса и является резервом для увеличения земель сельскохозяйственного назначения. По данным на 1.11.12. год в землях запаса числятся 15,4 млн.га. специальныног земельного фонда. В том числе сельскохозяйственных угодий – 13,4 млн.га.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В специальном земельном фонде в настоящее время наибольшей площадью числятся в ВКО – 3,4 млн.га., Кызылординской – 2,2 млн.га., ВКО – 2,0 млн.га., Павлодарской – 1,6 млн.га., ЗКО – 1,3 млн.га., Костанайской – 1,2 млн.га. и Актюбинской – 0,9 млн.га. областях.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В связи с тем, что статус специального земельного фонда практически не отличается от земель запаса, целесообразно на законодательном уровне 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lastRenderedPageBreak/>
        <w:t>рассмотрим вопрос по необходимости отдельного его учета в составе земель запаса.</w:t>
      </w:r>
    </w:p>
    <w:p w:rsid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>Использование земель специального земельного фонда осуществлялась во всех областях республики за исключением Атырауской и Мангыстауской областей.</w:t>
      </w:r>
    </w:p>
    <w:p w:rsidR="001575E0" w:rsidRPr="001C75E4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5E4" w:rsidRPr="001575E0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55</w:t>
      </w:r>
      <w:r w:rsidR="001C75E4" w:rsidRPr="001575E0">
        <w:rPr>
          <w:rFonts w:ascii="Times New Roman" w:hAnsi="Times New Roman" w:cs="Times New Roman"/>
          <w:b/>
          <w:sz w:val="28"/>
          <w:szCs w:val="28"/>
          <w:lang w:val="kk-KZ"/>
        </w:rPr>
        <w:t>. Угодья – основной элемент земельного кадастра.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Земли особо охраняемых территорий , землезаводов ,историко-культурного назначения . При классификации землепользования ,как основной кадастровой единицы важно установить те основные элементы , которые с одной стороны выражали бы его сущность ,а с другой давали ему количественный характер. 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В составе землепользования можно выделить ряд состоящих из нескольких участков. В свою очередь отдельные участки отличительные по характеру использования и делятся на контуры угодий, обособленных на местности.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Показатели ,выражающие эконом. сущность земель является земельными угодьями .Оно выступает носителем сущности свойств ,присущих землепользователями ,как экономическому явлению.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В силу этого угодья служит основным элементом при земельном кадастре. Экономическая реализация использование земли в обществе ,производстве проявляются через угодья.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По соотношению угодий можно судить о характере пользования земли,в сельском производстве и в определенной мере по направлению и специализации хозяйств .В связи с этим просмотрим понятия «угодия».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Первоначально оно означало «годица» и было связано с понятием о даровых природных богатств, которыми пользовался человек в виду этого часто говорят о естественном угодьях в зависимости от того ,в какой сфере человек деятельности . Эти данные использовались какие его  жизненные потребности 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В процессе развития хозяйственной деятельности человека соответственно расширилось понятие и подразделение угодий, поэтому угодья –хозяйственные и экономические.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Понимая основу определения земельного угодья, производственная сущность надо исходить из его основного ,целевого использования. Дело в том, что одни и те же территории могут применяться как для основных, так и для побочных целей. Например :сенокос как угодья ,в определенный период после угодья, использовались пастьбы скота. Однако указ обстоятельств не служит основанием для учета этой территории под пастбища.</w:t>
      </w:r>
    </w:p>
    <w:p w:rsid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 Однако как и где земля выступает ,как главное средство производства ,где она является не только предметом ,но и орудием труда и формы.</w:t>
      </w:r>
    </w:p>
    <w:p w:rsidR="001575E0" w:rsidRPr="001C75E4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5E4" w:rsidRPr="001575E0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56.</w:t>
      </w:r>
      <w:r w:rsidR="001C75E4" w:rsidRPr="001575E0">
        <w:rPr>
          <w:rFonts w:ascii="Times New Roman" w:hAnsi="Times New Roman" w:cs="Times New Roman"/>
          <w:b/>
          <w:sz w:val="28"/>
          <w:szCs w:val="28"/>
          <w:lang w:val="kk-KZ"/>
        </w:rPr>
        <w:t>Распределение земельного фонда Казахстана по видам сельскохозяйственных угодий.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В общей площади земельного фонда Казахстана территория ,которой составляют 272,5 млн.га ( данные на 1 ноября 2012 г.).Сельскохозяйственные </w:t>
      </w:r>
      <w:r w:rsidRPr="001C75E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угодья занимают 222,2 млн. га (81,7%) и не сельскохозяйственные угодья занимают 80,3 млн.га (18,4%) , из них лесные площади и древесно-кустарниковые нахождения 14,5 млн.га (4,2%) , и прочие не сельскохозяйственные угодья. 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 Сельскохозяйственные угодья являются преобразующие эрозии во всех категориях земель наиболее сельскохозяйственные угодья ( пашня,в том числе орошаемые ,многолетние насаждения) находятся преимущественно в составе земель категории сельскохозяйственные насаждения.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Наиболее крупных массивы сельскохозяйственных угодий имеются в Карагандинской - 37,4 млн.га , Акмолинской -27,0 млн.га , ВКО - 22,7 млн.га , Костанайской -18,1 млн.га , и Алматинской - 4 млн.га. областях.</w:t>
      </w:r>
    </w:p>
    <w:p w:rsid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За последние годы площадь сельскохозяйственных угодий изменения незначительно претерпевает изменения лишь состав эрозий ввиду их перевода из категории в категории.</w:t>
      </w:r>
    </w:p>
    <w:p w:rsidR="001575E0" w:rsidRPr="001C75E4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5E4" w:rsidRPr="001575E0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57</w:t>
      </w:r>
      <w:r w:rsidR="001C75E4" w:rsidRPr="001575E0">
        <w:rPr>
          <w:rFonts w:ascii="Times New Roman" w:hAnsi="Times New Roman" w:cs="Times New Roman"/>
          <w:b/>
          <w:sz w:val="28"/>
          <w:szCs w:val="28"/>
          <w:lang w:val="kk-KZ"/>
        </w:rPr>
        <w:t>. Пашня как основное сельскохозяйственное угодье.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Пашня является наиболее ценным видом сельскохозяйственных угодий. На пашнях производятся основные производственные продукции, и прежде всего, зерном. В то же время на обработке пашней , для распашки ,обработки приходится значительная доля затрат в сельском хозяйстве. Важнейшей операционной , хозяйственной формой использования пашней служат теплообороты . В зависимости от назначения и состава разделываемых культур , главного вида , производимой репрепродукцией продукции ( зерно,технические культуры,халва,овощи и т д ) севеобороты подразделяются на след. угодья - полевые , кормовые и специальные .</w:t>
      </w:r>
    </w:p>
    <w:p w:rsid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  <w:lang w:val="kk-KZ"/>
        </w:rPr>
        <w:t xml:space="preserve">   В общей площади сельскохозяйственных угодий пашня занимает 25 млн.га. или 11,3% . Наиболее крупные пашни сосредоточены в Костанайской ( 1 млн.га.), Акмолинской (5,4 млн.га.) и Северо - Казахстанской (4,9 млн.га.) , что составляет 65,9% пашни РК . В настоящее время обозначалась устойчивая тенденция освоения оставленных в земель хороших по качеству почв земель . С 2009 года по 2012 год площадь пашни увеличилась на 1 млн. 520,8 тысяч га ,в том числе только в 2012 году это увеличилось ,собственно на 382,9 тыс. га. Распределение площадью пашней в освоениях , и их динамика с 1992-2012 г. Анализ динамики площадей по областям показывает, что прирост нашим продолжается ,главным образом в основных зернохозяйственных областях республики .Так за 2012 год было дополнительно включено в 382,9 тыс га,в том числе Костанайской -87,8 тыс га, Павлодарской -91,7 тыс га,Карагандинской -86,7 тыс га,Акмолинской-41,7 тыс га, в Восточно Казахстанской -36,2 тыс га областях. Однако наряду с этим,в 2012 году хозяйствующими субъектами было оставлено в и произведена их и другие виды 43,9 тыс га ,из них в Актюбинской области-29,8 тыс га ,ЗКО-13,4 тыс га областях. Анализ динамики по республики в целом за период с 1991 года по 2012 год показывает, что если промежутке 1991-из года в год сокращалось, то наоборот с 2001 по 2012 год площадь имеет общую тенденцию к увеличению.</w:t>
      </w:r>
    </w:p>
    <w:p w:rsidR="001575E0" w:rsidRPr="001C75E4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5E4" w:rsidRPr="001575E0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5E0">
        <w:rPr>
          <w:rFonts w:ascii="Times New Roman" w:hAnsi="Times New Roman" w:cs="Times New Roman"/>
          <w:b/>
          <w:sz w:val="28"/>
          <w:szCs w:val="28"/>
        </w:rPr>
        <w:t>58</w:t>
      </w:r>
      <w:r w:rsidR="001575E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1575E0">
        <w:rPr>
          <w:rFonts w:ascii="Times New Roman" w:hAnsi="Times New Roman" w:cs="Times New Roman"/>
          <w:b/>
          <w:sz w:val="28"/>
          <w:szCs w:val="28"/>
        </w:rPr>
        <w:t>Залежь как временно неиспользуемое сельскохозяйственное угодье.</w:t>
      </w:r>
    </w:p>
    <w:p w:rsidR="001C75E4" w:rsidRPr="001C75E4" w:rsidRDefault="001575E0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1C75E4" w:rsidRPr="001C75E4">
        <w:rPr>
          <w:rFonts w:ascii="Times New Roman" w:hAnsi="Times New Roman" w:cs="Times New Roman"/>
          <w:sz w:val="28"/>
          <w:szCs w:val="28"/>
        </w:rPr>
        <w:t xml:space="preserve">В составе землепользования хозяйства, района, областей может быть залежь, т.е. Пахотные земли, временно не используемые под посевной </w:t>
      </w:r>
      <w:proofErr w:type="spellStart"/>
      <w:proofErr w:type="gramStart"/>
      <w:r w:rsidR="001C75E4" w:rsidRPr="001C75E4">
        <w:rPr>
          <w:rFonts w:ascii="Times New Roman" w:hAnsi="Times New Roman" w:cs="Times New Roman"/>
          <w:sz w:val="28"/>
          <w:szCs w:val="28"/>
        </w:rPr>
        <w:t>культур.В</w:t>
      </w:r>
      <w:proofErr w:type="spellEnd"/>
      <w:proofErr w:type="gramEnd"/>
      <w:r w:rsidR="001C75E4" w:rsidRPr="001C75E4">
        <w:rPr>
          <w:rFonts w:ascii="Times New Roman" w:hAnsi="Times New Roman" w:cs="Times New Roman"/>
          <w:sz w:val="28"/>
          <w:szCs w:val="28"/>
        </w:rPr>
        <w:t xml:space="preserve"> государственном учете она фиксируется отдельно, как самостоятельное угодье. Отметим то, что в целом по стране залежь занимает 4316,7 тыс. га. т.е. около 4,8% от общей площади сельскохозяйственных угодий. При переложенной системе земледелия залежь была необходима для восстановления плодородия земли. При современной системе земледелия залежь не является необходимым элементом, а значит и не может выступать в качестве самостоятельного угодья. Рациональное использование земли объективно обуславливает необходимость вовлечение залежи в обработку и посев на ней сельскохозяйственных культур. Поэтому наличие залежи в сельскохозяйственных предприятиях следует рассматривать как временное явление. Как правило, это объясняется невозможностью по каким-то объективным причинам использовать занимаемые его участки для обработки и посева культур. </w:t>
      </w:r>
    </w:p>
    <w:p w:rsidR="001C75E4" w:rsidRP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5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6682CD5" wp14:editId="458CD3F3">
            <wp:simplePos x="0" y="0"/>
            <wp:positionH relativeFrom="column">
              <wp:posOffset>1069975</wp:posOffset>
            </wp:positionH>
            <wp:positionV relativeFrom="paragraph">
              <wp:posOffset>1142365</wp:posOffset>
            </wp:positionV>
            <wp:extent cx="3759200" cy="58928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592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E0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C75E4">
        <w:rPr>
          <w:rFonts w:ascii="Times New Roman" w:hAnsi="Times New Roman" w:cs="Times New Roman"/>
          <w:sz w:val="28"/>
          <w:szCs w:val="28"/>
        </w:rPr>
        <w:t xml:space="preserve">Несмотря на то, что общая площадь занимаемых земель ежегодно уменьшается в отдельных областях еще сохраняется большие площади этих земель: в Павлодарской- 1063,5 </w:t>
      </w:r>
      <w:proofErr w:type="spellStart"/>
      <w:r w:rsidRPr="001C75E4"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 w:rsidRPr="001C75E4">
        <w:rPr>
          <w:rFonts w:ascii="Times New Roman" w:hAnsi="Times New Roman" w:cs="Times New Roman"/>
          <w:sz w:val="28"/>
          <w:szCs w:val="28"/>
        </w:rPr>
        <w:t xml:space="preserve">., ЗКО- 1041,3 </w:t>
      </w:r>
      <w:proofErr w:type="spellStart"/>
      <w:r w:rsidRPr="001C75E4"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 w:rsidRPr="001C75E4">
        <w:rPr>
          <w:rFonts w:ascii="Times New Roman" w:hAnsi="Times New Roman" w:cs="Times New Roman"/>
          <w:sz w:val="28"/>
          <w:szCs w:val="28"/>
        </w:rPr>
        <w:t xml:space="preserve">., Акмолинской-771,5 </w:t>
      </w:r>
      <w:proofErr w:type="spellStart"/>
      <w:r w:rsidRPr="001C75E4"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 w:rsidRPr="001C75E4">
        <w:rPr>
          <w:rFonts w:ascii="Times New Roman" w:hAnsi="Times New Roman" w:cs="Times New Roman"/>
          <w:sz w:val="28"/>
          <w:szCs w:val="28"/>
        </w:rPr>
        <w:t>., Карагандинской-</w:t>
      </w:r>
      <w:proofErr w:type="gramStart"/>
      <w:r w:rsidRPr="001C75E4">
        <w:rPr>
          <w:rFonts w:ascii="Times New Roman" w:hAnsi="Times New Roman" w:cs="Times New Roman"/>
          <w:sz w:val="28"/>
          <w:szCs w:val="28"/>
        </w:rPr>
        <w:t>391,1тыс.га</w:t>
      </w:r>
      <w:proofErr w:type="gramEnd"/>
      <w:r w:rsidRPr="001C75E4">
        <w:rPr>
          <w:rFonts w:ascii="Times New Roman" w:hAnsi="Times New Roman" w:cs="Times New Roman"/>
          <w:sz w:val="28"/>
          <w:szCs w:val="28"/>
        </w:rPr>
        <w:t xml:space="preserve">., Актюбинской-380,3тыс.га.  В 2012 году в областях происходили различные изменения в площадях и залежей. В одних продолжалась дальнейшее освоение залежных земель и сокращение их площадей, в других- наоборот наблюдался перевод частей земель в залежь и увеличение ее площадей. Основное освоение залежей происходило в Павлодарской (85,3 </w:t>
      </w:r>
      <w:proofErr w:type="spellStart"/>
      <w:r w:rsidRPr="001C75E4"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 w:rsidRPr="001C75E4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proofErr w:type="gramStart"/>
      <w:r w:rsidRPr="001C75E4">
        <w:rPr>
          <w:rFonts w:ascii="Times New Roman" w:hAnsi="Times New Roman" w:cs="Times New Roman"/>
          <w:sz w:val="28"/>
          <w:szCs w:val="28"/>
        </w:rPr>
        <w:t>Алматинской</w:t>
      </w:r>
      <w:proofErr w:type="spellEnd"/>
      <w:r w:rsidRPr="001C75E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C75E4">
        <w:rPr>
          <w:rFonts w:ascii="Times New Roman" w:hAnsi="Times New Roman" w:cs="Times New Roman"/>
          <w:sz w:val="28"/>
          <w:szCs w:val="28"/>
        </w:rPr>
        <w:t xml:space="preserve">46,8 </w:t>
      </w:r>
      <w:proofErr w:type="spellStart"/>
      <w:r w:rsidRPr="001C75E4"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 w:rsidRPr="001C75E4">
        <w:rPr>
          <w:rFonts w:ascii="Times New Roman" w:hAnsi="Times New Roman" w:cs="Times New Roman"/>
          <w:sz w:val="28"/>
          <w:szCs w:val="28"/>
        </w:rPr>
        <w:t xml:space="preserve">.), ВКО( 36,1 </w:t>
      </w:r>
      <w:proofErr w:type="spellStart"/>
      <w:r w:rsidRPr="001C75E4"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 w:rsidRPr="001C75E4">
        <w:rPr>
          <w:rFonts w:ascii="Times New Roman" w:hAnsi="Times New Roman" w:cs="Times New Roman"/>
          <w:sz w:val="28"/>
          <w:szCs w:val="28"/>
        </w:rPr>
        <w:t xml:space="preserve">.), Карагандинской( 77,9 </w:t>
      </w:r>
      <w:proofErr w:type="spellStart"/>
      <w:r w:rsidRPr="001C75E4"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 w:rsidRPr="001C75E4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1C75E4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Pr="001C75E4">
        <w:rPr>
          <w:rFonts w:ascii="Times New Roman" w:hAnsi="Times New Roman" w:cs="Times New Roman"/>
          <w:sz w:val="28"/>
          <w:szCs w:val="28"/>
        </w:rPr>
        <w:t xml:space="preserve">(22,5 </w:t>
      </w:r>
      <w:proofErr w:type="spellStart"/>
      <w:r w:rsidRPr="001C75E4"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 w:rsidRPr="001C75E4">
        <w:rPr>
          <w:rFonts w:ascii="Times New Roman" w:hAnsi="Times New Roman" w:cs="Times New Roman"/>
          <w:sz w:val="28"/>
          <w:szCs w:val="28"/>
        </w:rPr>
        <w:t xml:space="preserve">) и ряд </w:t>
      </w:r>
      <w:r w:rsidRPr="001C75E4">
        <w:rPr>
          <w:rFonts w:ascii="Times New Roman" w:hAnsi="Times New Roman" w:cs="Times New Roman"/>
          <w:sz w:val="28"/>
          <w:szCs w:val="28"/>
        </w:rPr>
        <w:lastRenderedPageBreak/>
        <w:t xml:space="preserve">других областей. Всего было вовлечено в сельскохозяйственный оборот 278,8 </w:t>
      </w:r>
      <w:proofErr w:type="spellStart"/>
      <w:r w:rsidRPr="001C75E4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1C75E4">
        <w:rPr>
          <w:rFonts w:ascii="Times New Roman" w:hAnsi="Times New Roman" w:cs="Times New Roman"/>
          <w:sz w:val="28"/>
          <w:szCs w:val="28"/>
        </w:rPr>
        <w:t xml:space="preserve"> га залежей. Залежь числится во всех категориях земель. Однако основные ее площади находятся в категориях земель сельскохозяйственного назначения- в 2657,0 </w:t>
      </w:r>
      <w:proofErr w:type="spellStart"/>
      <w:r w:rsidRPr="001C75E4"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 w:rsidRPr="001C75E4">
        <w:rPr>
          <w:rFonts w:ascii="Times New Roman" w:hAnsi="Times New Roman" w:cs="Times New Roman"/>
          <w:sz w:val="28"/>
          <w:szCs w:val="28"/>
        </w:rPr>
        <w:t xml:space="preserve">. (61,6%) и запаса – 1555,4 </w:t>
      </w:r>
      <w:proofErr w:type="spellStart"/>
      <w:r w:rsidRPr="001C75E4"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 w:rsidRPr="001C75E4">
        <w:rPr>
          <w:rFonts w:ascii="Times New Roman" w:hAnsi="Times New Roman" w:cs="Times New Roman"/>
          <w:sz w:val="28"/>
          <w:szCs w:val="28"/>
        </w:rPr>
        <w:t>. ( 36,0%).</w:t>
      </w:r>
    </w:p>
    <w:p w:rsidR="001C75E4" w:rsidRDefault="001C75E4" w:rsidP="001C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b/>
          <w:sz w:val="28"/>
          <w:szCs w:val="28"/>
          <w:lang w:val="kk-KZ"/>
        </w:rPr>
        <w:t>59. Многолетние насаждения как сельскохозяйственные угодья.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Участки земли, занятые многолетними продуктивными насаждениями( сады, виноградник) составляют самостоятельный, весьма ценный вид сельскохозяйственных угодий, как и пашня они подвергаются систематическим воздействию и требуют относительные больших упражнении труда и средств на единицу площади. На них получают сравнительно большой объём. Ценной продукции, поэтому наличие земных угодий свидетельствует об интенсивном использовании земли.  В отличие от пашни на этих участков, выращиваются многолетние древесные и кустарниковые растения, что обуславливает сравнительное значительный период использования земель под данный вид растении. </w:t>
      </w:r>
    </w:p>
    <w:p w:rsid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  По данным баланса земель на 1 ноября 2012 года в республика числятся 127,2 тыс.га. многолетних насаждений, в том числе садов 89,7тыс.га., виноградников 13,9 тыс.га и прочих насаждении( малина, вишня и т.д.)-2,6 тыс.га. В 2012 году площадь многолетних насаждений увеличивается на 10тыс.га за счет посадки садов на площади 0,6 тыс.га и прочих насаждений на 9,7 тыс.га с одновременным уменьшением площади виноградников на 0,3 тыс.га.</w:t>
      </w:r>
    </w:p>
    <w:p w:rsid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206A63">
            <wp:extent cx="5200650" cy="68891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88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60.</w:t>
      </w:r>
      <w:r w:rsidRPr="001575E0">
        <w:rPr>
          <w:rFonts w:ascii="Times New Roman" w:hAnsi="Times New Roman" w:cs="Times New Roman"/>
          <w:b/>
          <w:sz w:val="28"/>
          <w:szCs w:val="28"/>
          <w:lang w:val="kk-KZ"/>
        </w:rPr>
        <w:t>Сенокосы и пастбища, как основные виды сельскохозяйственных угодий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Важное хозяйственное значение имеют- сенокосы и пастбища. Их обычно называют естественными ( природными) кормовыми угодьями, поскольку они в меньшей степени претерпели изменения в природном состоянии и используются для обеспечения животноводства кормами. Иногда их называют угодьями луговодства. В составе земельного фонда РК они занимают значительный удельный вес. 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   В процессе интенсификации сельскохозяйственного производства сенокосы и пастбища подвергаются поверхностному и коренному улучшению, на </w:t>
      </w:r>
      <w:r w:rsidRPr="001575E0">
        <w:rPr>
          <w:rFonts w:ascii="Times New Roman" w:hAnsi="Times New Roman" w:cs="Times New Roman"/>
          <w:sz w:val="28"/>
          <w:szCs w:val="28"/>
          <w:lang w:val="kk-KZ"/>
        </w:rPr>
        <w:lastRenderedPageBreak/>
        <w:t>пастбищах организуются определенная система пастба скота. Все это способствует увеличению их продуктивности, таким образом, сенткосы и пастбища как форма использования земли выступает то же не только в качестве  предмета, но и орудия труда в сельскохозяйственной производстве.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    Сенокосы как основной вид сельскохозяйственных угодий.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По данным баланса земель на 1 ноября 2012 года  сенокосы в РК занимают 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sz w:val="28"/>
          <w:szCs w:val="28"/>
          <w:lang w:val="kk-KZ"/>
        </w:rPr>
        <w:t>Площадь 5158,6 тыс.га из них улучшенное 52,5 тыс.га и лиманного орошения 714,7 тыс.га. Произошедшие изменения относительно 2011 года не значительные и произошли вследствие сенокосов в другие виды угодья. Динамика площадей сенокосов (тыс.га)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7"/>
        <w:gridCol w:w="1572"/>
        <w:gridCol w:w="1572"/>
        <w:gridCol w:w="1474"/>
        <w:gridCol w:w="1230"/>
        <w:gridCol w:w="1616"/>
      </w:tblGrid>
      <w:tr w:rsidR="001575E0" w:rsidRPr="00607588" w:rsidTr="00220AC4">
        <w:tc>
          <w:tcPr>
            <w:tcW w:w="2132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 xml:space="preserve">Показатели </w:t>
            </w:r>
          </w:p>
        </w:tc>
        <w:tc>
          <w:tcPr>
            <w:tcW w:w="1609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1991</w:t>
            </w:r>
          </w:p>
        </w:tc>
        <w:tc>
          <w:tcPr>
            <w:tcW w:w="1609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2000</w:t>
            </w:r>
          </w:p>
        </w:tc>
        <w:tc>
          <w:tcPr>
            <w:tcW w:w="1505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В 2012 году по отношению к 2011 году</w:t>
            </w:r>
          </w:p>
        </w:tc>
      </w:tr>
      <w:tr w:rsidR="001575E0" w:rsidRPr="00607588" w:rsidTr="00220AC4">
        <w:tc>
          <w:tcPr>
            <w:tcW w:w="2132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 xml:space="preserve">Общая площадь: из них </w:t>
            </w:r>
          </w:p>
        </w:tc>
        <w:tc>
          <w:tcPr>
            <w:tcW w:w="1609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5106,3</w:t>
            </w:r>
          </w:p>
        </w:tc>
        <w:tc>
          <w:tcPr>
            <w:tcW w:w="1609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5015,5</w:t>
            </w:r>
          </w:p>
        </w:tc>
        <w:tc>
          <w:tcPr>
            <w:tcW w:w="1505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5189,9</w:t>
            </w:r>
          </w:p>
        </w:tc>
        <w:tc>
          <w:tcPr>
            <w:tcW w:w="1245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5158,6</w:t>
            </w:r>
          </w:p>
        </w:tc>
        <w:tc>
          <w:tcPr>
            <w:tcW w:w="1245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-31,3</w:t>
            </w:r>
          </w:p>
        </w:tc>
      </w:tr>
      <w:tr w:rsidR="001575E0" w:rsidRPr="00607588" w:rsidTr="00220AC4">
        <w:tc>
          <w:tcPr>
            <w:tcW w:w="2132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 xml:space="preserve">Улучшенные </w:t>
            </w:r>
          </w:p>
        </w:tc>
        <w:tc>
          <w:tcPr>
            <w:tcW w:w="1609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164,3</w:t>
            </w:r>
          </w:p>
        </w:tc>
        <w:tc>
          <w:tcPr>
            <w:tcW w:w="1609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63,2</w:t>
            </w:r>
          </w:p>
        </w:tc>
        <w:tc>
          <w:tcPr>
            <w:tcW w:w="1505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67,2</w:t>
            </w:r>
          </w:p>
        </w:tc>
        <w:tc>
          <w:tcPr>
            <w:tcW w:w="1245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52,5</w:t>
            </w:r>
          </w:p>
        </w:tc>
        <w:tc>
          <w:tcPr>
            <w:tcW w:w="1245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-8,7</w:t>
            </w:r>
          </w:p>
        </w:tc>
      </w:tr>
      <w:tr w:rsidR="001575E0" w:rsidRPr="00607588" w:rsidTr="00220AC4">
        <w:tc>
          <w:tcPr>
            <w:tcW w:w="2132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Лиманных</w:t>
            </w:r>
          </w:p>
        </w:tc>
        <w:tc>
          <w:tcPr>
            <w:tcW w:w="1609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821,4</w:t>
            </w:r>
          </w:p>
        </w:tc>
        <w:tc>
          <w:tcPr>
            <w:tcW w:w="1609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797,9</w:t>
            </w:r>
          </w:p>
        </w:tc>
        <w:tc>
          <w:tcPr>
            <w:tcW w:w="1505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731,5</w:t>
            </w:r>
          </w:p>
        </w:tc>
        <w:tc>
          <w:tcPr>
            <w:tcW w:w="1245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714,7</w:t>
            </w:r>
          </w:p>
        </w:tc>
        <w:tc>
          <w:tcPr>
            <w:tcW w:w="1245" w:type="dxa"/>
          </w:tcPr>
          <w:p w:rsidR="001575E0" w:rsidRPr="00607588" w:rsidRDefault="001575E0" w:rsidP="00220AC4">
            <w:pPr>
              <w:rPr>
                <w:sz w:val="28"/>
                <w:szCs w:val="28"/>
              </w:rPr>
            </w:pPr>
            <w:r w:rsidRPr="00607588">
              <w:rPr>
                <w:sz w:val="28"/>
                <w:szCs w:val="28"/>
              </w:rPr>
              <w:t>-16,8</w:t>
            </w:r>
          </w:p>
        </w:tc>
      </w:tr>
    </w:tbl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Значительное использование вод, рек и озер на орошение изменятся по отношению с орошениями. 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    По поймами рек Сырдарья и Шу изучают большую часть тростниковых болот и сенокосов. Резко опустынивание долина рек Урал в среднем и снижение его течении практически. В поймами реки Иртыши так же наблюдается ухудшение состояния сенокосов, резко сократилась их продуктивность.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   На улучшенных сенокосов преобладают многолетние травы 15-30 летнего возраста посева из проинтегрированных в 2012 году улучшенных сенокосов хорошое состояние выявлено всего на 35% их площади. 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   Из общей площади сенокосов в категории земли сельскохозяйственного назначения 2040,3 тыс.га составляет 39,7% в составе земель запаса -2087,0 тыс.га и в других категориях земель-1021,3 тыс.га. 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    По областям Казахстана основные площади сенокосов расположены в ЗКО(1224,5 тыс.га) и ВКО(1056,2 тыс.га), более 30% площади сенокосов или лиманного орошения сосредоточено в ЗКО. 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      Пастбища как основной вид сельскохозяйственных угодий.</w:t>
      </w: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Пастбищные угодья в РК является преобладающим видом угодий и занимает в ( составе сельскохозяйственных угодий, в том числе улучшенных-5,6 млн.га и объединенных 103,8 млн.га, территория обеспечивание водопоем для скота при пастбище). В разрезе категории земель пастбищу числятся в землях сельскохозяйственного назначения-61,1 млн.га в категориях земель населенных пунктов-20,9 млн.га. В категориях земель промышленности </w:t>
      </w:r>
      <w:r w:rsidRPr="001575E0">
        <w:rPr>
          <w:rFonts w:ascii="Times New Roman" w:hAnsi="Times New Roman" w:cs="Times New Roman"/>
          <w:sz w:val="28"/>
          <w:szCs w:val="28"/>
          <w:lang w:val="kk-KZ"/>
        </w:rPr>
        <w:lastRenderedPageBreak/>
        <w:t>транспорта связи и иного  несельскохозяйственного  назначения-1,1 млн.га.  В категориях земель особо орошаемых природных территории-2,6 млн.га  В категориях земель лесного фонда-8,5 млн.га, в категориях земель водного фонда-0,1 млн.га,  в категориях земель запаса-86,7 млн.га. В используемых землепользователями других государственных территориях находятся-6,5 млн.га пастбищных угодий.</w:t>
      </w:r>
    </w:p>
    <w:p w:rsid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5E0">
        <w:rPr>
          <w:rFonts w:ascii="Times New Roman" w:hAnsi="Times New Roman" w:cs="Times New Roman"/>
          <w:sz w:val="28"/>
          <w:szCs w:val="28"/>
          <w:lang w:val="kk-KZ"/>
        </w:rPr>
        <w:t xml:space="preserve">   За последние годы площадь пастбищных угодий уменьшается они сократились на 138,3 тыс.га. Это обусловлено тем, что часть пастбищ обводится под строительство объектов сельскохозяйственного назначения, а часть осваивается в других угодьях, в том числе их пашню.</w:t>
      </w:r>
    </w:p>
    <w:p w:rsid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75E0" w:rsidRPr="001575E0" w:rsidRDefault="001575E0" w:rsidP="00157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1EA2E0">
            <wp:extent cx="5636182" cy="409613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16" cy="409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575E0" w:rsidRPr="00157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5E1"/>
    <w:rsid w:val="001575E0"/>
    <w:rsid w:val="001A018A"/>
    <w:rsid w:val="001C75E4"/>
    <w:rsid w:val="002A46FC"/>
    <w:rsid w:val="003E15E1"/>
    <w:rsid w:val="00870D72"/>
    <w:rsid w:val="00BD44BE"/>
    <w:rsid w:val="00BF6D8B"/>
    <w:rsid w:val="00C976AA"/>
    <w:rsid w:val="00DB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44D5"/>
  <w15:docId w15:val="{C9597DA1-AE4F-4EF6-893C-FDD411CF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5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7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4941</Words>
  <Characters>28169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2</cp:revision>
  <dcterms:created xsi:type="dcterms:W3CDTF">2018-12-05T07:01:00Z</dcterms:created>
  <dcterms:modified xsi:type="dcterms:W3CDTF">2018-12-05T07:01:00Z</dcterms:modified>
</cp:coreProperties>
</file>